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9A4" w:rsidRPr="008739A4" w:rsidRDefault="008739A4" w:rsidP="008739A4">
      <w:pPr>
        <w:jc w:val="both"/>
        <w:rPr>
          <w:rFonts w:asciiTheme="majorHAnsi" w:hAnsiTheme="majorHAnsi"/>
          <w:b/>
          <w:bCs/>
          <w:smallCaps/>
          <w:sz w:val="24"/>
          <w:szCs w:val="24"/>
        </w:rPr>
      </w:pPr>
      <w:proofErr w:type="gramStart"/>
      <w:r w:rsidRPr="008739A4">
        <w:rPr>
          <w:rFonts w:asciiTheme="majorHAnsi" w:hAnsiTheme="majorHAnsi"/>
          <w:b/>
          <w:bCs/>
          <w:smallCaps/>
          <w:sz w:val="24"/>
          <w:szCs w:val="24"/>
        </w:rPr>
        <w:t>bolognai</w:t>
      </w:r>
      <w:proofErr w:type="gramEnd"/>
      <w:r w:rsidRPr="008739A4">
        <w:rPr>
          <w:rFonts w:asciiTheme="majorHAnsi" w:hAnsiTheme="majorHAnsi"/>
          <w:b/>
          <w:bCs/>
          <w:smallCaps/>
          <w:sz w:val="24"/>
          <w:szCs w:val="24"/>
        </w:rPr>
        <w:t xml:space="preserve"> folyamat</w:t>
      </w:r>
    </w:p>
    <w:p w:rsidR="00DD7296" w:rsidRDefault="008739A4" w:rsidP="008739A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</w:t>
      </w:r>
      <w:proofErr w:type="gramStart"/>
      <w:r w:rsidRPr="008739A4">
        <w:rPr>
          <w:rFonts w:asciiTheme="majorHAnsi" w:hAnsiTheme="majorHAnsi"/>
          <w:sz w:val="24"/>
          <w:szCs w:val="24"/>
        </w:rPr>
        <w:t xml:space="preserve">Egy </w:t>
      </w:r>
      <w:hyperlink r:id="rId4" w:tooltip="Európai Unió" w:history="1">
        <w:r w:rsidRPr="008739A4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>egységes európai</w:t>
        </w:r>
      </w:hyperlink>
      <w:r w:rsidRPr="008739A4">
        <w:rPr>
          <w:rFonts w:asciiTheme="majorHAnsi" w:hAnsiTheme="majorHAnsi"/>
          <w:sz w:val="24"/>
          <w:szCs w:val="24"/>
        </w:rPr>
        <w:t xml:space="preserve"> </w:t>
      </w:r>
      <w:hyperlink r:id="rId5" w:tooltip="egyetem" w:history="1">
        <w:r w:rsidRPr="008739A4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>felsőoktatási</w:t>
        </w:r>
      </w:hyperlink>
      <w:r w:rsidRPr="008739A4">
        <w:rPr>
          <w:rFonts w:asciiTheme="majorHAnsi" w:hAnsiTheme="majorHAnsi"/>
          <w:sz w:val="24"/>
          <w:szCs w:val="24"/>
        </w:rPr>
        <w:t xml:space="preserve"> térség létreho</w:t>
      </w:r>
      <w:r w:rsidRPr="008739A4">
        <w:rPr>
          <w:rFonts w:asciiTheme="majorHAnsi" w:hAnsiTheme="majorHAnsi"/>
          <w:sz w:val="24"/>
          <w:szCs w:val="24"/>
        </w:rPr>
        <w:softHyphen/>
        <w:t xml:space="preserve">zásának céljával 1999-ben európai oktatási miniszterek aláírják a Bolognai Nyilatkozatot, amely szerint a folyamatba bekapcsolódó államoknak (jelenleg 33 ország) 2010-ig ki kell építeniük az új </w:t>
      </w:r>
      <w:hyperlink r:id="rId6" w:tooltip="oktatáselmélet" w:history="1">
        <w:r w:rsidRPr="008739A4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>képzési rendszert</w:t>
        </w:r>
      </w:hyperlink>
      <w:r w:rsidRPr="008739A4">
        <w:rPr>
          <w:rFonts w:asciiTheme="majorHAnsi" w:hAnsiTheme="majorHAnsi"/>
          <w:sz w:val="24"/>
          <w:szCs w:val="24"/>
        </w:rPr>
        <w:t>, 2005-re pedig jelentést kell készíteniük, miként haladnak az átállással.</w:t>
      </w:r>
      <w:r>
        <w:rPr>
          <w:rFonts w:asciiTheme="majorHAnsi" w:hAnsiTheme="majorHAnsi"/>
          <w:sz w:val="24"/>
          <w:szCs w:val="24"/>
        </w:rPr>
        <w:br/>
        <w:t>-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Pr="008739A4">
        <w:rPr>
          <w:rFonts w:asciiTheme="majorHAnsi" w:hAnsiTheme="majorHAnsi"/>
          <w:sz w:val="24"/>
          <w:szCs w:val="24"/>
        </w:rPr>
        <w:t>Időközben a 2003-as Berlini Konferencia ráadásul a felgyorsítás mellett döntött, és a legfonto</w:t>
      </w:r>
      <w:r w:rsidRPr="008739A4">
        <w:rPr>
          <w:rFonts w:asciiTheme="majorHAnsi" w:hAnsiTheme="majorHAnsi"/>
          <w:sz w:val="24"/>
          <w:szCs w:val="24"/>
        </w:rPr>
        <w:softHyphen/>
        <w:t xml:space="preserve">sabb bolognai tételek bevezetését 2005-re tette. </w:t>
      </w:r>
      <w:proofErr w:type="gramStart"/>
      <w:r w:rsidRPr="008739A4">
        <w:rPr>
          <w:rFonts w:asciiTheme="majorHAnsi" w:hAnsiTheme="majorHAnsi"/>
          <w:sz w:val="24"/>
          <w:szCs w:val="24"/>
        </w:rPr>
        <w:t>Ezek a következők: könnyen összehasonlítható végzettségek rendszere, kétszintű képzés, egységes kre</w:t>
      </w:r>
      <w:r w:rsidRPr="008739A4">
        <w:rPr>
          <w:rFonts w:asciiTheme="majorHAnsi" w:hAnsiTheme="majorHAnsi"/>
          <w:sz w:val="24"/>
          <w:szCs w:val="24"/>
        </w:rPr>
        <w:softHyphen/>
        <w:t xml:space="preserve">ditrendszer, oklevélmelléklet-rendszer, a </w:t>
      </w:r>
      <w:hyperlink r:id="rId7" w:tooltip="társadalmi mobilitás" w:history="1">
        <w:r w:rsidRPr="008739A4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>mobilitás</w:t>
        </w:r>
      </w:hyperlink>
      <w:r w:rsidRPr="008739A4">
        <w:rPr>
          <w:rFonts w:asciiTheme="majorHAnsi" w:hAnsiTheme="majorHAnsi"/>
          <w:sz w:val="24"/>
          <w:szCs w:val="24"/>
        </w:rPr>
        <w:t xml:space="preserve"> támogatása, a </w:t>
      </w:r>
      <w:hyperlink r:id="rId8" w:tooltip="szocializmus, szociáldemokrácia" w:history="1">
        <w:r w:rsidRPr="008739A4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>szociális dimenzió</w:t>
        </w:r>
      </w:hyperlink>
      <w:r w:rsidRPr="008739A4">
        <w:rPr>
          <w:rFonts w:asciiTheme="majorHAnsi" w:hAnsiTheme="majorHAnsi"/>
          <w:sz w:val="24"/>
          <w:szCs w:val="24"/>
        </w:rPr>
        <w:t xml:space="preserve"> erősítése, minőségbiztosítás, az oktatás és a gazdaság kapcsola</w:t>
      </w:r>
      <w:r w:rsidRPr="008739A4">
        <w:rPr>
          <w:rFonts w:asciiTheme="majorHAnsi" w:hAnsiTheme="majorHAnsi"/>
          <w:sz w:val="24"/>
          <w:szCs w:val="24"/>
        </w:rPr>
        <w:softHyphen/>
        <w:t>tának szorosabbra fűzése, az európai dimenziók támogatása, az</w:t>
      </w:r>
      <w:proofErr w:type="gramEnd"/>
      <w:r w:rsidRPr="008739A4">
        <w:rPr>
          <w:rFonts w:asciiTheme="majorHAnsi" w:hAnsiTheme="majorHAnsi"/>
          <w:sz w:val="24"/>
          <w:szCs w:val="24"/>
        </w:rPr>
        <w:t xml:space="preserve"> </w:t>
      </w:r>
      <w:hyperlink r:id="rId9" w:tooltip="egész életen át tartó tanulás" w:history="1">
        <w:proofErr w:type="gramStart"/>
        <w:r w:rsidRPr="008739A4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>élethosszig</w:t>
        </w:r>
        <w:proofErr w:type="gramEnd"/>
        <w:r w:rsidRPr="008739A4">
          <w:rPr>
            <w:rStyle w:val="Hiperhivatkozs"/>
            <w:rFonts w:asciiTheme="majorHAnsi" w:hAnsiTheme="majorHAnsi"/>
            <w:color w:val="auto"/>
            <w:sz w:val="24"/>
            <w:szCs w:val="24"/>
            <w:u w:val="none"/>
          </w:rPr>
          <w:t xml:space="preserve"> tartó tanulás</w:t>
        </w:r>
      </w:hyperlink>
      <w:r w:rsidRPr="008739A4">
        <w:rPr>
          <w:rFonts w:asciiTheme="majorHAnsi" w:hAnsiTheme="majorHAnsi"/>
          <w:sz w:val="24"/>
          <w:szCs w:val="24"/>
        </w:rPr>
        <w:t xml:space="preserve"> elterjedésének segítése, a térség vonzerejének és versenyké</w:t>
      </w:r>
      <w:r w:rsidRPr="008739A4">
        <w:rPr>
          <w:rFonts w:asciiTheme="majorHAnsi" w:hAnsiTheme="majorHAnsi"/>
          <w:sz w:val="24"/>
          <w:szCs w:val="24"/>
        </w:rPr>
        <w:softHyphen/>
        <w:t xml:space="preserve">pességének növelése. </w:t>
      </w:r>
      <w:r>
        <w:rPr>
          <w:rFonts w:asciiTheme="majorHAnsi" w:hAnsiTheme="majorHAnsi"/>
          <w:sz w:val="24"/>
          <w:szCs w:val="24"/>
        </w:rPr>
        <w:br/>
        <w:t xml:space="preserve">- </w:t>
      </w:r>
      <w:r w:rsidRPr="008739A4">
        <w:rPr>
          <w:rFonts w:asciiTheme="majorHAnsi" w:hAnsiTheme="majorHAnsi"/>
          <w:sz w:val="24"/>
          <w:szCs w:val="24"/>
        </w:rPr>
        <w:t xml:space="preserve">A folyamattal kapcsolatban </w:t>
      </w:r>
      <w:proofErr w:type="gramStart"/>
      <w:r w:rsidRPr="008739A4">
        <w:rPr>
          <w:rFonts w:asciiTheme="majorHAnsi" w:hAnsiTheme="majorHAnsi"/>
          <w:sz w:val="24"/>
          <w:szCs w:val="24"/>
        </w:rPr>
        <w:t>felvetett</w:t>
      </w:r>
      <w:proofErr w:type="gramEnd"/>
      <w:r w:rsidRPr="008739A4">
        <w:rPr>
          <w:rFonts w:asciiTheme="majorHAnsi" w:hAnsiTheme="majorHAnsi"/>
          <w:sz w:val="24"/>
          <w:szCs w:val="24"/>
        </w:rPr>
        <w:t xml:space="preserve"> problémák többek közt aköré csoportosulnak, hogy az Európai Unióban nincs kötelező érvényű egységes modell az oktatásra, és a felülről jövő reform nem sértheti a felső</w:t>
      </w:r>
      <w:r w:rsidRPr="008739A4">
        <w:rPr>
          <w:rFonts w:asciiTheme="majorHAnsi" w:hAnsiTheme="majorHAnsi"/>
          <w:sz w:val="24"/>
          <w:szCs w:val="24"/>
        </w:rPr>
        <w:softHyphen/>
        <w:t>oktatási intézmények autonómiáját.</w:t>
      </w:r>
    </w:p>
    <w:p w:rsidR="008739A4" w:rsidRDefault="008739A4" w:rsidP="008739A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Jellemzői:</w:t>
      </w:r>
      <w:r>
        <w:rPr>
          <w:rFonts w:asciiTheme="majorHAnsi" w:hAnsiTheme="majorHAnsi"/>
          <w:sz w:val="24"/>
          <w:szCs w:val="24"/>
        </w:rPr>
        <w:br/>
        <w:t>- Definiált és ö</w:t>
      </w:r>
      <w:r w:rsidR="00F803DF">
        <w:rPr>
          <w:rFonts w:asciiTheme="majorHAnsi" w:hAnsiTheme="majorHAnsi"/>
          <w:sz w:val="24"/>
          <w:szCs w:val="24"/>
        </w:rPr>
        <w:t>sszehasonlítható diplomák</w:t>
      </w:r>
      <w:r w:rsidR="00F803DF">
        <w:rPr>
          <w:rFonts w:asciiTheme="majorHAnsi" w:hAnsiTheme="majorHAnsi"/>
          <w:sz w:val="24"/>
          <w:szCs w:val="24"/>
        </w:rPr>
        <w:br/>
        <w:t xml:space="preserve">- </w:t>
      </w:r>
      <w:proofErr w:type="gramStart"/>
      <w:r w:rsidR="00F803DF">
        <w:rPr>
          <w:rFonts w:asciiTheme="majorHAnsi" w:hAnsiTheme="majorHAnsi"/>
          <w:sz w:val="24"/>
          <w:szCs w:val="24"/>
        </w:rPr>
        <w:t xml:space="preserve">Két </w:t>
      </w:r>
      <w:r>
        <w:rPr>
          <w:rFonts w:asciiTheme="majorHAnsi" w:hAnsiTheme="majorHAnsi"/>
          <w:sz w:val="24"/>
          <w:szCs w:val="24"/>
        </w:rPr>
        <w:t>ciklusú</w:t>
      </w:r>
      <w:proofErr w:type="gramEnd"/>
      <w:r>
        <w:rPr>
          <w:rFonts w:asciiTheme="majorHAnsi" w:hAnsiTheme="majorHAnsi"/>
          <w:sz w:val="24"/>
          <w:szCs w:val="24"/>
        </w:rPr>
        <w:t xml:space="preserve"> képzés – alap és mesterszakasz</w:t>
      </w:r>
      <w:r>
        <w:rPr>
          <w:rFonts w:asciiTheme="majorHAnsi" w:hAnsiTheme="majorHAnsi"/>
          <w:sz w:val="24"/>
          <w:szCs w:val="24"/>
        </w:rPr>
        <w:br/>
        <w:t xml:space="preserve">- </w:t>
      </w:r>
      <w:r w:rsidR="00F803DF">
        <w:rPr>
          <w:rFonts w:asciiTheme="majorHAnsi" w:hAnsiTheme="majorHAnsi"/>
          <w:sz w:val="24"/>
          <w:szCs w:val="24"/>
        </w:rPr>
        <w:t>Kredit átviteli rendszer</w:t>
      </w:r>
      <w:r w:rsidR="00F803DF">
        <w:rPr>
          <w:rFonts w:asciiTheme="majorHAnsi" w:hAnsiTheme="majorHAnsi"/>
          <w:sz w:val="24"/>
          <w:szCs w:val="24"/>
        </w:rPr>
        <w:br/>
        <w:t>- Oktatói és hallgatói mobilitás</w:t>
      </w:r>
      <w:r w:rsidR="00F803DF">
        <w:rPr>
          <w:rFonts w:asciiTheme="majorHAnsi" w:hAnsiTheme="majorHAnsi"/>
          <w:sz w:val="24"/>
          <w:szCs w:val="24"/>
        </w:rPr>
        <w:br/>
        <w:t>- A nemzeti határok kitágítása</w:t>
      </w:r>
      <w:r w:rsidR="00F803DF">
        <w:rPr>
          <w:rFonts w:asciiTheme="majorHAnsi" w:hAnsiTheme="majorHAnsi"/>
          <w:sz w:val="24"/>
          <w:szCs w:val="24"/>
        </w:rPr>
        <w:br/>
        <w:t>- A doktori szint ráépül a mesterszintre</w:t>
      </w:r>
    </w:p>
    <w:p w:rsidR="00F803DF" w:rsidRDefault="00F803DF" w:rsidP="008739A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Kreditrendszer:</w:t>
      </w:r>
      <w:r>
        <w:rPr>
          <w:rFonts w:asciiTheme="majorHAnsi" w:hAnsiTheme="majorHAnsi"/>
          <w:sz w:val="24"/>
          <w:szCs w:val="24"/>
        </w:rPr>
        <w:br/>
        <w:t>- A tanulmányi munka, kötelezettség mérőszáma</w:t>
      </w:r>
      <w:r>
        <w:rPr>
          <w:rFonts w:asciiTheme="majorHAnsi" w:hAnsiTheme="majorHAnsi"/>
          <w:sz w:val="24"/>
          <w:szCs w:val="24"/>
        </w:rPr>
        <w:br/>
        <w:t>- 1 kredit kb. 30 hallgatói munkaóra</w:t>
      </w:r>
      <w:r>
        <w:rPr>
          <w:rFonts w:asciiTheme="majorHAnsi" w:hAnsiTheme="majorHAnsi"/>
          <w:sz w:val="24"/>
          <w:szCs w:val="24"/>
        </w:rPr>
        <w:br/>
        <w:t>- 1 szemeszter kb. 30 kredit</w:t>
      </w:r>
      <w:r>
        <w:rPr>
          <w:rFonts w:asciiTheme="majorHAnsi" w:hAnsiTheme="majorHAnsi"/>
          <w:sz w:val="24"/>
          <w:szCs w:val="24"/>
        </w:rPr>
        <w:br/>
        <w:t>- 1 szemeszter nem feltétlenül egyenlő 1 félévvel</w:t>
      </w:r>
      <w:r>
        <w:rPr>
          <w:rFonts w:asciiTheme="majorHAnsi" w:hAnsiTheme="majorHAnsi"/>
          <w:sz w:val="24"/>
          <w:szCs w:val="24"/>
        </w:rPr>
        <w:br/>
        <w:t>- Saját tanrend összeállítása</w:t>
      </w:r>
      <w:r>
        <w:rPr>
          <w:rFonts w:asciiTheme="majorHAnsi" w:hAnsiTheme="majorHAnsi"/>
          <w:sz w:val="24"/>
          <w:szCs w:val="24"/>
        </w:rPr>
        <w:br/>
        <w:t>- Kredit átviteli bizottság – ECTS</w:t>
      </w:r>
    </w:p>
    <w:p w:rsidR="00F803DF" w:rsidRPr="008739A4" w:rsidRDefault="00F803DF" w:rsidP="008739A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forrás: Magyar Virtuális Enciklopédia</w:t>
      </w:r>
    </w:p>
    <w:sectPr w:rsidR="00F803DF" w:rsidRPr="008739A4" w:rsidSect="00870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39A4"/>
    <w:rsid w:val="001201A8"/>
    <w:rsid w:val="0079795A"/>
    <w:rsid w:val="00870BEE"/>
    <w:rsid w:val="008739A4"/>
    <w:rsid w:val="00C90B62"/>
    <w:rsid w:val="00F8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0B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8739A4"/>
    <w:rPr>
      <w:color w:val="AA524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.hu/1enciklopedia/mindennapi/szocializmu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c.hu/1enciklopedia/fogalmi/szoc/tarsadalmi_mobilita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c.hu/1enciklopedia/fogalmi/ped/oktataselm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nc.hu/1enciklopedia/fogalmi/muvelodestort/egyetem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nc.hu/1enciklopedia/fogalmi/eu/eu.htm" TargetMode="External"/><Relationship Id="rId9" Type="http://schemas.openxmlformats.org/officeDocument/2006/relationships/hyperlink" Target="http://www.enc.hu/1enciklopedia/fogalmi/ped/elethosszig.h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</dc:creator>
  <cp:keywords/>
  <dc:description/>
  <cp:lastModifiedBy>LeWiS</cp:lastModifiedBy>
  <cp:revision>1</cp:revision>
  <dcterms:created xsi:type="dcterms:W3CDTF">2008-10-27T16:56:00Z</dcterms:created>
  <dcterms:modified xsi:type="dcterms:W3CDTF">2008-10-27T17:19:00Z</dcterms:modified>
</cp:coreProperties>
</file>