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E6" w:rsidRPr="00EC315E" w:rsidRDefault="00B57A1A" w:rsidP="00B57A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5E">
        <w:rPr>
          <w:rFonts w:ascii="Times New Roman" w:hAnsi="Times New Roman" w:cs="Times New Roman"/>
          <w:b/>
          <w:sz w:val="24"/>
          <w:szCs w:val="24"/>
        </w:rPr>
        <w:t>Az állam- és jogtörténet tantárgy, funkciója, oktatásának története</w:t>
      </w:r>
      <w:r w:rsidR="00B96666" w:rsidRPr="00EC3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1.Tétel</w:t>
      </w:r>
    </w:p>
    <w:p w:rsidR="00B57A1A" w:rsidRPr="00EC315E" w:rsidRDefault="00B57A1A" w:rsidP="00B57A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B52" w:rsidRPr="00EC315E" w:rsidRDefault="00B57A1A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Az állam és</w:t>
      </w:r>
      <w:r w:rsidR="00563B52" w:rsidRPr="00EC315E">
        <w:rPr>
          <w:rFonts w:ascii="Times New Roman" w:hAnsi="Times New Roman" w:cs="Times New Roman"/>
          <w:sz w:val="24"/>
          <w:szCs w:val="24"/>
        </w:rPr>
        <w:t xml:space="preserve"> a</w:t>
      </w:r>
      <w:r w:rsidRPr="00EC315E">
        <w:rPr>
          <w:rFonts w:ascii="Times New Roman" w:hAnsi="Times New Roman" w:cs="Times New Roman"/>
          <w:sz w:val="24"/>
          <w:szCs w:val="24"/>
        </w:rPr>
        <w:t xml:space="preserve"> jog elvont kategóriák. A társadalmi csoportok tagjainak létfeltételeinek biztosítására jött létre. Az összetartást az egymásrautaltság alakítja ki. A hatalom érvényesítése történhet kívülről, mint fenyegető támadás vagy belülről, mint a csoport széthúzása. Ezeket a hatalmi tényezőket tartják sokan az állam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első megjelenéseként számon. Max Webber szerint a társadalom</w:t>
      </w:r>
      <w:r w:rsidR="00563B52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 felett gyakorolt uralom intézményesített hatalmat jelent. Az államnak a kívülről jövő támadásokat kell kivédenie, valamint a társadalom belső működését hivatott szolgálni. Tehát az állam szerepei: a rend fenntartása, valamint védekező funkciókat is ellát.                                                                                                                                     A jog egyik meghatározó eleme: az előre meghatározottság. Ez biztosítja a társadalmi biztonságot. A másik meghatározó eleme: az érvényesítés kényszere. </w:t>
      </w:r>
      <w:r w:rsidR="00563B52" w:rsidRPr="00EC315E">
        <w:rPr>
          <w:rFonts w:ascii="Times New Roman" w:hAnsi="Times New Roman" w:cs="Times New Roman"/>
          <w:sz w:val="24"/>
          <w:szCs w:val="24"/>
        </w:rPr>
        <w:t>Ez biztosítja a társadalmi rendező hatást. Az állam és jog meghatározzák egymást. A törvények az intézményesített uralom meghatározó normarendszere, valamint a társadalmi problémák megoldására jött létre.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    </w:t>
      </w:r>
      <w:r w:rsidR="00563B52" w:rsidRPr="00EC3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A nagyobb államok először a folyamvidékeken jöttek létre. Például Kínában, Indiában, a Tigris és az Eufrátesz mentén, a Nílus mentén, Dél-Amerikában.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563B52" w:rsidRPr="00EC315E">
        <w:rPr>
          <w:rFonts w:ascii="Times New Roman" w:hAnsi="Times New Roman" w:cs="Times New Roman"/>
          <w:sz w:val="24"/>
          <w:szCs w:val="24"/>
        </w:rPr>
        <w:t>Kialakulásukban döntő szerepe volt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563B52" w:rsidRPr="00EC315E">
        <w:rPr>
          <w:rFonts w:ascii="Times New Roman" w:hAnsi="Times New Roman" w:cs="Times New Roman"/>
          <w:sz w:val="24"/>
          <w:szCs w:val="24"/>
        </w:rPr>
        <w:t>a termelés megsze</w:t>
      </w:r>
      <w:r w:rsidR="000A292F" w:rsidRPr="00EC315E">
        <w:rPr>
          <w:rFonts w:ascii="Times New Roman" w:hAnsi="Times New Roman" w:cs="Times New Roman"/>
          <w:sz w:val="24"/>
          <w:szCs w:val="24"/>
        </w:rPr>
        <w:t xml:space="preserve">rvezése és a termékek védelme. </w:t>
      </w:r>
    </w:p>
    <w:p w:rsidR="000A292F" w:rsidRPr="00EC315E" w:rsidRDefault="000A292F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Babilon</w:t>
      </w:r>
      <w:r w:rsidR="004C1241" w:rsidRPr="00EC3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241" w:rsidRPr="00EC315E" w:rsidRDefault="004C1241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Az emberi társadalom kultúrájának egyik bölcsője Babilon. Ezek a városok intézményesített politikai szervezetet hoztak létre, uralkodóik és tisztségviselőik voltak. Az első nagyobb területre kiterjedő uralmat Ur vagy Uruk királyai valósították meg 3000 körül. Az állam élén az uralkodó állt a kormányzásban papjai és a katonai vezetők segítették. A második évezredben Hammurapi uralkodott, aki megalkotta a mezopotámiai törvénykönyvet.</w:t>
      </w:r>
      <w:r w:rsidR="00D14DD9" w:rsidRPr="00EC315E">
        <w:rPr>
          <w:rFonts w:ascii="Times New Roman" w:hAnsi="Times New Roman" w:cs="Times New Roman"/>
          <w:sz w:val="24"/>
          <w:szCs w:val="24"/>
        </w:rPr>
        <w:t xml:space="preserve"> A törvényből megtudjuk, hogy a szabad emberek különböző rétegei a birodalom szigorúan elhatárolt társadalmi rétegzettségében éltek. A törvénykönyv a megelőző korok szokásait, a közelmúltban keletkezett ítéletek döntéseit, a szokásjogot és az esetjogot foglalja össze. Hammurapi </w:t>
      </w:r>
      <w:r w:rsidR="008662D2" w:rsidRPr="00EC315E">
        <w:rPr>
          <w:rFonts w:ascii="Times New Roman" w:hAnsi="Times New Roman" w:cs="Times New Roman"/>
          <w:sz w:val="24"/>
          <w:szCs w:val="24"/>
        </w:rPr>
        <w:t>törvényeiben az igazságszolgáltatás rendjét a peres eljárás menetét, valamint a bírák kötelességeit szabja meg.</w:t>
      </w:r>
    </w:p>
    <w:p w:rsidR="008662D2" w:rsidRPr="00EC315E" w:rsidRDefault="008662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Zsidó állam</w:t>
      </w:r>
    </w:p>
    <w:p w:rsidR="008662D2" w:rsidRPr="00EC315E" w:rsidRDefault="008662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zsidó államot a szigorú monoteista teokrácia jellemezte. Tehát a törvény Isten törvénye. A politikai ismereteiket Babilontól és Egyiptomtól tanulták. A peres eljárásnál figyelembe vették a bizonyítékot, a tanút és az esküt. Ezek alapján hozták meg a döntést. A zsidók elfogadták a többnejűséget és ismerték a válást. A büntetésnél alkalmazták a „ szemet szemért, életet életért” elvet.</w:t>
      </w:r>
    </w:p>
    <w:p w:rsidR="008662D2" w:rsidRPr="00EC315E" w:rsidRDefault="008662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Görög állam és a jog</w:t>
      </w:r>
    </w:p>
    <w:p w:rsidR="000153D2" w:rsidRPr="00EC315E" w:rsidRDefault="00324AF7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Négy államtípust különböztetünk meg: athéni, a spártai szárazföldi államok, valamint a szigetvilág poliszai és a gyarmati területek. Athént a művelt akhájok, Spártát a dórok, a kis- </w:t>
      </w:r>
      <w:r w:rsidRPr="00EC315E">
        <w:rPr>
          <w:rFonts w:ascii="Times New Roman" w:hAnsi="Times New Roman" w:cs="Times New Roman"/>
          <w:sz w:val="24"/>
          <w:szCs w:val="24"/>
        </w:rPr>
        <w:lastRenderedPageBreak/>
        <w:t>ázsiai gyarmatokat az ionok, a sziget poliszokat az aiolok építették ki.                                                                                                                                                                        Spárta volt a legkorábban kialakított hellén városállam. Államát arisztokratikus szemlélet jellemezte. Minden polgára azonos mértékű politikai joggal bírt, valamint a nők is részt vehettek a közügyek gyakorlásában. A spártai nevelés során az állam gondoskodott polg</w:t>
      </w:r>
      <w:r w:rsidR="009B26C5" w:rsidRPr="00EC315E">
        <w:rPr>
          <w:rFonts w:ascii="Times New Roman" w:hAnsi="Times New Roman" w:cs="Times New Roman"/>
          <w:sz w:val="24"/>
          <w:szCs w:val="24"/>
        </w:rPr>
        <w:t>árai képzéséről. A spártai álla</w:t>
      </w:r>
      <w:r w:rsidRPr="00EC315E">
        <w:rPr>
          <w:rFonts w:ascii="Times New Roman" w:hAnsi="Times New Roman" w:cs="Times New Roman"/>
          <w:sz w:val="24"/>
          <w:szCs w:val="24"/>
        </w:rPr>
        <w:t>mszervezet élén a két baszileusz</w:t>
      </w:r>
      <w:r w:rsidRPr="00EC31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26C5" w:rsidRPr="00EC315E">
        <w:rPr>
          <w:rFonts w:ascii="Times New Roman" w:hAnsi="Times New Roman" w:cs="Times New Roman"/>
          <w:sz w:val="24"/>
          <w:szCs w:val="24"/>
        </w:rPr>
        <w:t xml:space="preserve"> állt. Ezt kettős királyságnak nevezzük. A királyokat segítette az öregek tanácsa, mely 30 tagból állt. A kormányt és a büntetőbíróságot alkották. A népgyűlésben csak a harminc év feletti férfiak vehettek részt. A háború és a béke ügyeiben döntöttek. A felügyelők öttagú testülete a király és az öregek tanácsát ellenőrizte.                                                                                                                                                        Az athéni állam nyitott gazdaságú, egyéni, demokratikus közösség volt. Az athéni állam a fokozatos fejlődés útján alakult ki. Szolón nevéhez kötődik Athén legjelentős</w:t>
      </w:r>
      <w:r w:rsidR="001733D9" w:rsidRPr="00EC315E">
        <w:rPr>
          <w:rFonts w:ascii="Times New Roman" w:hAnsi="Times New Roman" w:cs="Times New Roman"/>
          <w:sz w:val="24"/>
          <w:szCs w:val="24"/>
        </w:rPr>
        <w:t>e</w:t>
      </w:r>
      <w:r w:rsidR="009B26C5" w:rsidRPr="00EC315E">
        <w:rPr>
          <w:rFonts w:ascii="Times New Roman" w:hAnsi="Times New Roman" w:cs="Times New Roman"/>
          <w:sz w:val="24"/>
          <w:szCs w:val="24"/>
        </w:rPr>
        <w:t>bb</w:t>
      </w:r>
      <w:r w:rsidR="001733D9" w:rsidRPr="00EC315E">
        <w:rPr>
          <w:rFonts w:ascii="Times New Roman" w:hAnsi="Times New Roman" w:cs="Times New Roman"/>
          <w:sz w:val="24"/>
          <w:szCs w:val="24"/>
        </w:rPr>
        <w:t xml:space="preserve"> reformsorozata. Drakón szigorú törvényeit érvénytelenítette, közkegyelmet hirdetett, csak gyilkosságért szabhattak ki halálbüntetést. Az athéniaknak jogukban állt bíróságra menni. Ezenkívül megszüntette az adósrabszolgaságot, lehetővé tette</w:t>
      </w:r>
      <w:r w:rsidR="009B26C5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1733D9" w:rsidRPr="00EC315E">
        <w:rPr>
          <w:rFonts w:ascii="Times New Roman" w:hAnsi="Times New Roman" w:cs="Times New Roman"/>
          <w:sz w:val="24"/>
          <w:szCs w:val="24"/>
        </w:rPr>
        <w:t>a szabad végrendelkezést. Az athéni államszervezet legfontosabb szerepe a népgyűlés volt, melyen minden athéni polgár részt vehetett. A négyszázak tanácsának 100-100 tagját az athéni törzs választotta. Szolón által létrehozott népbírós</w:t>
      </w:r>
      <w:r w:rsidR="000153D2" w:rsidRPr="00EC315E">
        <w:rPr>
          <w:rFonts w:ascii="Times New Roman" w:hAnsi="Times New Roman" w:cs="Times New Roman"/>
          <w:sz w:val="24"/>
          <w:szCs w:val="24"/>
        </w:rPr>
        <w:t xml:space="preserve">ág felelőségre </w:t>
      </w:r>
      <w:r w:rsidR="001733D9" w:rsidRPr="00EC315E">
        <w:rPr>
          <w:rFonts w:ascii="Times New Roman" w:hAnsi="Times New Roman" w:cs="Times New Roman"/>
          <w:sz w:val="24"/>
          <w:szCs w:val="24"/>
        </w:rPr>
        <w:t>vonhatta a tisztviselőket és dönthettek a büntetőügyek</w:t>
      </w:r>
      <w:r w:rsidR="000153D2" w:rsidRPr="00EC315E">
        <w:rPr>
          <w:rFonts w:ascii="Times New Roman" w:hAnsi="Times New Roman" w:cs="Times New Roman"/>
          <w:sz w:val="24"/>
          <w:szCs w:val="24"/>
        </w:rPr>
        <w:t xml:space="preserve">ben. Az athéni  demokrácia kialakításában döntő szerepe volt Kleiszthenész reformjainak. Államszervezeti reformjai közül a legjelentősebb az új terület felosztás volt.    </w:t>
      </w:r>
    </w:p>
    <w:p w:rsidR="000153D2" w:rsidRPr="00EC315E" w:rsidRDefault="000153D2" w:rsidP="00B57A1A">
      <w:pPr>
        <w:rPr>
          <w:rFonts w:ascii="Times New Roman" w:hAnsi="Times New Roman" w:cs="Times New Roman"/>
          <w:sz w:val="24"/>
          <w:szCs w:val="24"/>
        </w:rPr>
      </w:pPr>
    </w:p>
    <w:p w:rsidR="000153D2" w:rsidRPr="00EC315E" w:rsidRDefault="000153D2" w:rsidP="00B57A1A">
      <w:pPr>
        <w:rPr>
          <w:rFonts w:ascii="Times New Roman" w:hAnsi="Times New Roman" w:cs="Times New Roman"/>
          <w:sz w:val="24"/>
          <w:szCs w:val="24"/>
        </w:rPr>
      </w:pPr>
    </w:p>
    <w:p w:rsidR="000153D2" w:rsidRPr="00EC315E" w:rsidRDefault="000153D2" w:rsidP="000153D2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római jog újjáéledése</w:t>
      </w:r>
    </w:p>
    <w:p w:rsidR="00185150" w:rsidRPr="00EC315E" w:rsidRDefault="000153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Irnerius és utódai a justinianusi könyveket tették tanításuk alapjává. 500 év után, a megfogalmazása után megváltoztak a társadalmi viszonyok, de a jog önálló maradt. Az itáliai egyetemeken tanultakat az európai országok hasznosították az államigazgatásban, az igazságszolgáltatásban. A római császárság  társadalmi</w:t>
      </w:r>
      <w:r w:rsidR="00185150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Pr="00EC315E">
        <w:rPr>
          <w:rFonts w:ascii="Times New Roman" w:hAnsi="Times New Roman" w:cs="Times New Roman"/>
          <w:sz w:val="24"/>
          <w:szCs w:val="24"/>
        </w:rPr>
        <w:t xml:space="preserve"> szerkezete</w:t>
      </w:r>
      <w:r w:rsidR="00185150" w:rsidRPr="00EC315E">
        <w:rPr>
          <w:rFonts w:ascii="Times New Roman" w:hAnsi="Times New Roman" w:cs="Times New Roman"/>
          <w:sz w:val="24"/>
          <w:szCs w:val="24"/>
        </w:rPr>
        <w:t xml:space="preserve"> jóval fejlettebb volt a középkori államoknál. A középkori állam a mintákat a római jogból merítette. Amit átvettek azt alkalmazták, jogkönyveibe rögzítették.</w:t>
      </w:r>
    </w:p>
    <w:p w:rsidR="00185150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Kánonjog</w:t>
      </w:r>
    </w:p>
    <w:p w:rsidR="00185150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jog különböző tényezője maradt a keresztény egyház joga. Bizánci eredetű </w:t>
      </w:r>
      <w:r w:rsidR="009B26C5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Pr="00EC315E">
        <w:rPr>
          <w:rFonts w:ascii="Times New Roman" w:hAnsi="Times New Roman" w:cs="Times New Roman"/>
          <w:sz w:val="24"/>
          <w:szCs w:val="24"/>
        </w:rPr>
        <w:t xml:space="preserve">a kánonjog nem különül el a világi jog anyagától. A családjogra, a házasságra és a végrendelkezési jogra, valamint az egyház belső életére vonatkozó jogi normák alakulására hatott a keleti keresztény kánonjog. </w:t>
      </w:r>
    </w:p>
    <w:p w:rsidR="00185150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Középkori városok</w:t>
      </w:r>
    </w:p>
    <w:p w:rsidR="009915AA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város a középkori társadalomban magánharcoktól mentes rész, melynek legfőbb eleme a városi béke.</w:t>
      </w:r>
      <w:r w:rsidR="00F34E41" w:rsidRPr="00EC315E">
        <w:rPr>
          <w:rFonts w:ascii="Times New Roman" w:hAnsi="Times New Roman" w:cs="Times New Roman"/>
          <w:sz w:val="24"/>
          <w:szCs w:val="24"/>
        </w:rPr>
        <w:t xml:space="preserve"> A béke megőrzéséért emeltek a városok köré falat, valamint megszervezték  a városi közösséget. A másik fontos elem a városi szabadság volt. A városok lakói, azaz a polgárok tulajdonviszonyaik, öröklési jogviszonyaik, szolgáltatásaik, s jogállásuk szerint sajátos társadalmi rendet alkottak. Ezek közül kiemelkedik a városi jog, amely a szokásból és </w:t>
      </w:r>
      <w:r w:rsidR="00F34E41" w:rsidRPr="00EC315E">
        <w:rPr>
          <w:rFonts w:ascii="Times New Roman" w:hAnsi="Times New Roman" w:cs="Times New Roman"/>
          <w:sz w:val="24"/>
          <w:szCs w:val="24"/>
        </w:rPr>
        <w:lastRenderedPageBreak/>
        <w:t>a közösség m</w:t>
      </w:r>
      <w:r w:rsidR="009915AA" w:rsidRPr="00EC315E">
        <w:rPr>
          <w:rFonts w:ascii="Times New Roman" w:hAnsi="Times New Roman" w:cs="Times New Roman"/>
          <w:sz w:val="24"/>
          <w:szCs w:val="24"/>
        </w:rPr>
        <w:t xml:space="preserve">egegyezéséből fejlődött ki.  A </w:t>
      </w:r>
      <w:r w:rsidR="00F34E41" w:rsidRPr="00EC315E">
        <w:rPr>
          <w:rFonts w:ascii="Times New Roman" w:hAnsi="Times New Roman" w:cs="Times New Roman"/>
          <w:sz w:val="24"/>
          <w:szCs w:val="24"/>
        </w:rPr>
        <w:t xml:space="preserve">városi jog korszerűsége a városi kereskedelem jogában figyelhető meg. Új vonásként jelentkezik az egyenlőség elve. Tehát a városi jog a hagyomány által megalapozott sajátos jogrend, amelynek normái szóbeli átörökítés útján határozták </w:t>
      </w:r>
      <w:r w:rsidR="009915AA" w:rsidRPr="00EC315E">
        <w:rPr>
          <w:rFonts w:ascii="Times New Roman" w:hAnsi="Times New Roman" w:cs="Times New Roman"/>
          <w:sz w:val="24"/>
          <w:szCs w:val="24"/>
        </w:rPr>
        <w:t>meg a városi polgárok életét.</w:t>
      </w:r>
    </w:p>
    <w:p w:rsidR="009915AA" w:rsidRPr="00EC315E" w:rsidRDefault="009915AA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Frank társadalom </w:t>
      </w:r>
    </w:p>
    <w:p w:rsidR="009915AA" w:rsidRPr="00EC315E" w:rsidRDefault="009915AA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8. századra kialakult </w:t>
      </w:r>
      <w:r w:rsidR="00BD22F5" w:rsidRPr="00EC315E">
        <w:rPr>
          <w:rFonts w:ascii="Times New Roman" w:hAnsi="Times New Roman" w:cs="Times New Roman"/>
          <w:sz w:val="24"/>
          <w:szCs w:val="24"/>
        </w:rPr>
        <w:t>a földtulajdon fölötti rendelkezési jog, valamint a nagybirtokrendszer. Az uralkodó magához vonta az uratlan területeket, elkobozta az ellene szegülő nemzetségek birtokait. A frank birodalomban koncentrált államhatalom alakult ki. Ez magában foglalja, hogy az ország állandó harcban állt, folyamatos fegyveres készültséget jelentett. Az uralkodó feladatai közé tartozott: a bíráskodás, hadsereg vezetése, gazdasági jogokat szervezett, adókivetés, vámszedés, egyházkormányzati jogok, valamint módosíthatta a szokásjogokat. A frank korban született népjogi összefoglalások latin nyelven íródtak. A perbehívás módját, a szokássértő magatartások</w:t>
      </w:r>
      <w:r w:rsidR="00BE6C66" w:rsidRPr="00EC315E">
        <w:rPr>
          <w:rFonts w:ascii="Times New Roman" w:hAnsi="Times New Roman" w:cs="Times New Roman"/>
          <w:sz w:val="24"/>
          <w:szCs w:val="24"/>
        </w:rPr>
        <w:t xml:space="preserve"> szankcióit, a bírósági eljárás rendjét tartalmazták. A legfontosabb jogi források a szokásjog, valamint az uralkodó által kibocsátott törvények voltak. Ezeket a törvényeket capitularénak nevezzük.</w:t>
      </w:r>
    </w:p>
    <w:p w:rsidR="00BE6C66" w:rsidRPr="00EC315E" w:rsidRDefault="00BE6C66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Germán jogrendszer</w:t>
      </w:r>
    </w:p>
    <w:p w:rsidR="00BE6C66" w:rsidRPr="00EC315E" w:rsidRDefault="00BE6C66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germán jogforrások terén meghatározó volt a szokásjog. A közhatalom által kibocsátott törvények többsége íratlan volt. A jogot vita esetén a népgyűlés határozta meg. Később bevezették az írott jogot és kialakult a kettős jogrendszer. Az ítélkezés </w:t>
      </w:r>
      <w:r w:rsidR="006373AE" w:rsidRPr="00EC315E">
        <w:rPr>
          <w:rFonts w:ascii="Times New Roman" w:hAnsi="Times New Roman" w:cs="Times New Roman"/>
          <w:sz w:val="24"/>
          <w:szCs w:val="24"/>
        </w:rPr>
        <w:t>az egész nép ügye volt, a legfontosabb fóruma a népgyűlés volt. A germánkori büntetőjognak a központi intézménye a bosszú volt, tehát az bűnöst kivégezték.</w:t>
      </w:r>
    </w:p>
    <w:p w:rsidR="006373AE" w:rsidRPr="00EC315E" w:rsidRDefault="006373AE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Bizánci jog</w:t>
      </w:r>
    </w:p>
    <w:p w:rsidR="006373AE" w:rsidRPr="00EC315E" w:rsidRDefault="006373AE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bizánci jog a legjelentősebb feudális jogterületek egyike volt a középkorban. A bizánci jog forrásai a Justinianus-féle kondifikációval összefüggésben fejődött. A bizánci feudális jog kifejlődésében nagy szerepe volt a keleti keresztény</w:t>
      </w:r>
      <w:r w:rsidR="00FF0451" w:rsidRPr="00EC315E">
        <w:rPr>
          <w:rFonts w:ascii="Times New Roman" w:hAnsi="Times New Roman" w:cs="Times New Roman"/>
          <w:sz w:val="24"/>
          <w:szCs w:val="24"/>
        </w:rPr>
        <w:t xml:space="preserve"> egyház jogának/ kánonjog/. Fejlődött a büntetőjog és a büntetőperes eljárás. A bűncselekményeket  tárgy szerint csoportosították. A legsúlyosabb bűncselekmények közé tartozott az állam és az egyház ellen elkövetett bűncselekmény.</w:t>
      </w:r>
    </w:p>
    <w:p w:rsidR="00FF0451" w:rsidRPr="00EC315E" w:rsidRDefault="00FF0451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modern állam és jog</w:t>
      </w:r>
    </w:p>
    <w:p w:rsidR="00EC315E" w:rsidRPr="00EC315E" w:rsidRDefault="00FF0451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szárazföldi és a tengeri kereskedelem, a gazdálkodás új jogintézményeket alakított ki. Az állam és az egyház elkülönült egymástól. A radikális polgári átalakulás számolta fel a keresztény egyház és az állam összef</w:t>
      </w:r>
      <w:r w:rsidR="00EC315E" w:rsidRPr="00EC315E">
        <w:rPr>
          <w:rFonts w:ascii="Times New Roman" w:hAnsi="Times New Roman" w:cs="Times New Roman"/>
          <w:sz w:val="24"/>
          <w:szCs w:val="24"/>
        </w:rPr>
        <w:t>onódását. Kiemelkedő jelentőségű</w:t>
      </w:r>
      <w:r w:rsidRPr="00EC315E">
        <w:rPr>
          <w:rFonts w:ascii="Times New Roman" w:hAnsi="Times New Roman" w:cs="Times New Roman"/>
          <w:sz w:val="24"/>
          <w:szCs w:val="24"/>
        </w:rPr>
        <w:t>vé vált</w:t>
      </w:r>
      <w:r w:rsidR="00EC315E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Pr="00EC315E">
        <w:rPr>
          <w:rFonts w:ascii="Times New Roman" w:hAnsi="Times New Roman" w:cs="Times New Roman"/>
          <w:sz w:val="24"/>
          <w:szCs w:val="24"/>
        </w:rPr>
        <w:t>a</w:t>
      </w:r>
      <w:r w:rsidR="00EC315E" w:rsidRPr="00EC315E">
        <w:rPr>
          <w:rFonts w:ascii="Times New Roman" w:hAnsi="Times New Roman" w:cs="Times New Roman"/>
          <w:sz w:val="24"/>
          <w:szCs w:val="24"/>
        </w:rPr>
        <w:t xml:space="preserve"> magántulajdon. Ez azt jelenti, hogy a polgár a tulajdonában lévő termelőeszközök felett szabadon rendelkezik. Komoly előrehaladást okozott a polgári átalakulás a büntetőeljárás a jog területén. </w:t>
      </w:r>
    </w:p>
    <w:p w:rsidR="00FF0451" w:rsidRPr="00EC315E" w:rsidRDefault="00EC315E" w:rsidP="00EC315E">
      <w:pPr>
        <w:jc w:val="right"/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Készítette: Gerencsér Regina </w:t>
      </w:r>
    </w:p>
    <w:p w:rsidR="00FF0451" w:rsidRPr="00885AC7" w:rsidRDefault="00EC315E" w:rsidP="00885AC7">
      <w:pPr>
        <w:pStyle w:val="Listaszerbekezds"/>
        <w:numPr>
          <w:ilvl w:val="0"/>
          <w:numId w:val="2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885AC7">
        <w:rPr>
          <w:rFonts w:ascii="Times New Roman" w:hAnsi="Times New Roman" w:cs="Times New Roman"/>
          <w:sz w:val="24"/>
          <w:szCs w:val="24"/>
        </w:rPr>
        <w:t>évfolyamos hallgató 13.csoport</w:t>
      </w:r>
    </w:p>
    <w:p w:rsidR="00885AC7" w:rsidRDefault="00885AC7" w:rsidP="00885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Bibliográfia:</w:t>
      </w:r>
    </w:p>
    <w:p w:rsidR="00885AC7" w:rsidRDefault="00885AC7" w:rsidP="00885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Wikipédia</w:t>
      </w:r>
    </w:p>
    <w:p w:rsidR="00885AC7" w:rsidRDefault="00885AC7" w:rsidP="00885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Google</w:t>
      </w:r>
    </w:p>
    <w:p w:rsidR="00885AC7" w:rsidRPr="00885AC7" w:rsidRDefault="00885AC7" w:rsidP="00885AC7">
      <w:pPr>
        <w:rPr>
          <w:rFonts w:ascii="Times New Roman" w:hAnsi="Times New Roman" w:cs="Times New Roman"/>
          <w:sz w:val="24"/>
          <w:szCs w:val="24"/>
        </w:rPr>
      </w:pPr>
    </w:p>
    <w:p w:rsidR="00324AF7" w:rsidRPr="00EC315E" w:rsidRDefault="009B26C5" w:rsidP="00EC315E">
      <w:pPr>
        <w:jc w:val="center"/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0A292F" w:rsidRPr="00EC315E" w:rsidRDefault="00BD22F5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666" w:rsidRPr="00B57A1A" w:rsidRDefault="00563B52" w:rsidP="00B57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24AF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A292F">
        <w:rPr>
          <w:rFonts w:ascii="Times New Roman" w:hAnsi="Times New Roman" w:cs="Times New Roman"/>
          <w:sz w:val="28"/>
          <w:szCs w:val="28"/>
        </w:rPr>
        <w:t xml:space="preserve">       </w:t>
      </w:r>
      <w:r w:rsidR="00B966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sectPr w:rsidR="00B96666" w:rsidRPr="00B57A1A" w:rsidSect="00763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2F3" w:rsidRDefault="002E62F3" w:rsidP="000153D2">
      <w:pPr>
        <w:spacing w:after="0" w:line="240" w:lineRule="auto"/>
      </w:pPr>
      <w:r>
        <w:separator/>
      </w:r>
    </w:p>
  </w:endnote>
  <w:endnote w:type="continuationSeparator" w:id="1">
    <w:p w:rsidR="002E62F3" w:rsidRDefault="002E62F3" w:rsidP="0001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2F3" w:rsidRDefault="002E62F3" w:rsidP="000153D2">
      <w:pPr>
        <w:spacing w:after="0" w:line="240" w:lineRule="auto"/>
      </w:pPr>
      <w:r>
        <w:separator/>
      </w:r>
    </w:p>
  </w:footnote>
  <w:footnote w:type="continuationSeparator" w:id="1">
    <w:p w:rsidR="002E62F3" w:rsidRDefault="002E62F3" w:rsidP="00015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702B7"/>
    <w:multiLevelType w:val="hybridMultilevel"/>
    <w:tmpl w:val="5AD65284"/>
    <w:lvl w:ilvl="0" w:tplc="1062D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7072E"/>
    <w:multiLevelType w:val="hybridMultilevel"/>
    <w:tmpl w:val="7B8E9308"/>
    <w:lvl w:ilvl="0" w:tplc="7C321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A1A"/>
    <w:rsid w:val="000153D2"/>
    <w:rsid w:val="000A292F"/>
    <w:rsid w:val="001733D9"/>
    <w:rsid w:val="00185150"/>
    <w:rsid w:val="002E62F3"/>
    <w:rsid w:val="00324AF7"/>
    <w:rsid w:val="004C1241"/>
    <w:rsid w:val="004D5142"/>
    <w:rsid w:val="00563B52"/>
    <w:rsid w:val="006373AE"/>
    <w:rsid w:val="007636E6"/>
    <w:rsid w:val="008662D2"/>
    <w:rsid w:val="00885AC7"/>
    <w:rsid w:val="009915AA"/>
    <w:rsid w:val="009B26C5"/>
    <w:rsid w:val="00B54D84"/>
    <w:rsid w:val="00B57A1A"/>
    <w:rsid w:val="00B96666"/>
    <w:rsid w:val="00BD22F5"/>
    <w:rsid w:val="00BE6C66"/>
    <w:rsid w:val="00D14DD9"/>
    <w:rsid w:val="00EB0A0A"/>
    <w:rsid w:val="00EC315E"/>
    <w:rsid w:val="00F34E41"/>
    <w:rsid w:val="00FF0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36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1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153D2"/>
  </w:style>
  <w:style w:type="paragraph" w:styleId="llb">
    <w:name w:val="footer"/>
    <w:basedOn w:val="Norml"/>
    <w:link w:val="llbChar"/>
    <w:uiPriority w:val="99"/>
    <w:semiHidden/>
    <w:unhideWhenUsed/>
    <w:rsid w:val="0001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153D2"/>
  </w:style>
  <w:style w:type="paragraph" w:styleId="Listaszerbekezds">
    <w:name w:val="List Paragraph"/>
    <w:basedOn w:val="Norml"/>
    <w:uiPriority w:val="34"/>
    <w:qFormat/>
    <w:rsid w:val="00EC3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45DE-8320-4378-8E5D-662D12F2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1193</Words>
  <Characters>8237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4</cp:revision>
  <dcterms:created xsi:type="dcterms:W3CDTF">2008-10-04T19:22:00Z</dcterms:created>
  <dcterms:modified xsi:type="dcterms:W3CDTF">2008-11-09T18:01:00Z</dcterms:modified>
</cp:coreProperties>
</file>